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before="0"/>
      </w:pPr>
      <w:r>
        <w:rPr>
          <w:rFonts w:ascii="Arial" w:cs="Arial" w:eastAsia="Arial" w:hAnsi="Arial"/>
          <w:b/>
          <w:bCs/>
          <w:color w:val="E07A30"/>
          <w:spacing w:val="80"/>
          <w:sz w:val="18"/>
          <w:szCs w:val="18"/>
        </w:rPr>
        <w:t xml:space="preserve">GOVERNANCE TEMPLATE</w:t>
      </w:r>
    </w:p>
    <w:p>
      <w:pPr>
        <w:pStyle w:val="Heading1"/>
        <w:spacing w:after="60" w:before="0"/>
      </w:pPr>
      <w:r>
        <w:rPr>
          <w:rFonts w:ascii="Arial" w:cs="Arial" w:eastAsia="Arial" w:hAnsi="Arial"/>
          <w:b/>
          <w:bCs/>
          <w:color w:val="2B4C7E"/>
          <w:sz w:val="38"/>
          <w:szCs w:val="38"/>
        </w:rPr>
        <w:t xml:space="preserve">Intent Document Template</w:t>
      </w:r>
    </w:p>
    <w:p>
      <w:pPr>
        <w:spacing w:after="80" w:before="0"/>
      </w:pPr>
      <w:r>
        <w:rPr>
          <w:rFonts w:ascii="Arial" w:cs="Arial" w:eastAsia="Arial" w:hAnsi="Arial"/>
          <w:color w:val="4A5568"/>
          <w:sz w:val="20"/>
          <w:szCs w:val="20"/>
        </w:rPr>
        <w:t xml:space="preserve">v1.0 </w:t>
      </w:r>
      <w:r>
        <w:rPr>
          <w:rFonts w:ascii="Arial" w:cs="Arial" w:eastAsia="Arial" w:hAnsi="Arial"/>
          <w:color w:val="4A5568"/>
          <w:sz w:val="20"/>
          <w:szCs w:val="20"/>
        </w:rPr>
        <w:t xml:space="preserve"> May 2026 </w:t>
      </w:r>
      <w:r>
        <w:rPr>
          <w:rFonts w:ascii="Arial" w:cs="Arial" w:eastAsia="Arial" w:hAnsi="Arial"/>
          <w:color w:val="4A5568"/>
          <w:sz w:val="20"/>
          <w:szCs w:val="20"/>
        </w:rPr>
        <w:t xml:space="preserve"> Sougata Roy, sougataroy.com</w:t>
      </w:r>
    </w:p>
    <w:p>
      <w:pPr>
        <w:spacing w:after="160" w:before="0"/>
      </w:pPr>
      <w:r>
        <w:rPr>
          <w:rFonts w:ascii="Arial" w:cs="Arial" w:eastAsia="Arial" w:hAnsi="Arial"/>
          <w:color w:val="1A202C"/>
          <w:sz w:val="22"/>
          <w:szCs w:val="22"/>
        </w:rPr>
        <w:t xml:space="preserve">A minimum Tier 2 Intent Document structure for documenting agent purpose, authorized scope, explicit prohibitions, accountability, review cadence, and escalation path before deployment.</w:t>
      </w:r>
    </w:p>
    <w:p>
      <w:pPr>
        <w:pBdr>
          <w:bottom w:val="single" w:color="C8CDD6" w:sz="4"/>
        </w:pBdr>
        <w:spacing w:after="0" w:before="0"/>
      </w:pPr>
      <w:r>
        <w:t xml:space="preserve"/>
      </w:r>
    </w:p>
    <w:p>
      <w:pPr>
        <w:spacing w:after="16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E07A30" w:sz="1"/>
              <w:left w:val="thick" w:color="E07A30" w:sz="20"/>
              <w:bottom w:val="single" w:color="E07A30" w:sz="1"/>
              <w:right w:val="single" w:color="E07A30" w:sz="1"/>
            </w:tcBorders>
            <w:shd w:fill="FFF9EC" w:val="clear"/>
            <w:tcMar>
              <w:top w:type="dxa" w:w="100"/>
              <w:left w:type="dxa" w:w="180"/>
              <w:bottom w:type="dxa" w:w="100"/>
              <w:right w:type="dxa" w:w="180"/>
            </w:tcMar>
          </w:tcPr>
          <w:p>
            <w:pPr>
              <w:spacing w:after="40" w:before="0"/>
            </w:pPr>
            <w:r>
              <w:rPr>
                <w:rFonts w:ascii="Arial" w:cs="Arial" w:eastAsia="Arial" w:hAnsi="Arial"/>
                <w:b/>
                <w:bCs/>
                <w:color w:val="E07A30"/>
                <w:spacing w:val="60"/>
                <w:sz w:val="17"/>
                <w:szCs w:val="17"/>
              </w:rPr>
              <w:t xml:space="preserve">HOW TO USE THIS TEMPLATE</w:t>
            </w:r>
          </w:p>
          <w:p>
            <w:pPr>
              <w:spacing w:after="0" w:before="0"/>
            </w:pPr>
            <w:r>
              <w:rPr>
                <w:rFonts w:ascii="Arial" w:cs="Arial" w:eastAsia="Arial" w:hAnsi="Arial"/>
                <w:color w:val="222222"/>
                <w:sz w:val="20"/>
                <w:szCs w:val="20"/>
              </w:rPr>
              <w:t xml:space="preserve">Complete every field before the agent enters production. The Explicit Prohibitions field cannot be blank. A scope document without explicit prohibitions is incomplete. It defines permissions but not the boundary from the outside, which is what an examiner will ask for. Tier 1 agents may use an abbreviated version covering Purpose Statement, Authorized Scope, and Consequence Owner only. Tier 3 agents require additional fields covering delegation scope, sub-agent authorization, and board reporting obligations.</w:t>
            </w:r>
          </w:p>
        </w:tc>
      </w:tr>
    </w:tbl>
    <w:p>
      <w:pPr>
        <w:spacing w:after="200" w:before="0"/>
      </w:pPr>
      <w:r>
        <w:t xml:space="preserve"/>
      </w:r>
    </w:p>
    <w:p>
      <w:pPr>
        <w:spacing w:after="80" w:before="240"/>
      </w:pPr>
      <w:r>
        <w:rPr>
          <w:rFonts w:ascii="Arial" w:cs="Arial" w:eastAsia="Arial" w:hAnsi="Arial"/>
          <w:b/>
          <w:bCs/>
          <w:color w:val="E07A30"/>
          <w:spacing w:val="80"/>
          <w:sz w:val="18"/>
          <w:szCs w:val="18"/>
        </w:rPr>
        <w:t xml:space="preserve">SECTION 1: AGENT IDENTITY</w:t>
      </w:r>
    </w:p>
    <w:p>
      <w:pPr>
        <w:pBdr>
          <w:bottom w:val="single" w:color="C8CDD6" w:sz="4"/>
        </w:pBdr>
        <w:spacing w:after="0" w:before="0"/>
      </w:pPr>
      <w:r>
        <w:t xml:space="preserve"/>
      </w:r>
    </w:p>
    <w:p>
      <w:pPr>
        <w:spacing w:after="8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8CDD6" w:sz="1"/>
              <w:left w:val="single" w:color="C8CDD6" w:sz="1"/>
              <w:bottom w:val="single" w:color="C8CDD6" w:sz="1"/>
              <w:right w:val="single" w:color="C8CDD6" w:sz="1"/>
            </w:tcBorders>
            <w:shd w:fill="FFFFFF" w:val="clear"/>
            <w:tcMar>
              <w:top w:type="dxa" w:w="120"/>
              <w:left w:type="dxa" w:w="180"/>
              <w:bottom w:type="dxa" w:w="120"/>
              <w:right w:type="dxa" w:w="180"/>
            </w:tcMar>
          </w:tcPr>
          <w:p>
            <w:pPr>
              <w:spacing w:after="60" w:before="0"/>
            </w:pPr>
            <w:r>
              <w:rPr>
                <w:rFonts w:ascii="Arial" w:cs="Arial" w:eastAsia="Arial" w:hAnsi="Arial"/>
                <w:b/>
                <w:bCs/>
                <w:color w:val="2B4C7E"/>
                <w:sz w:val="20"/>
                <w:szCs w:val="20"/>
              </w:rPr>
              <w:t xml:space="preserve">Agent Name</w:t>
            </w:r>
          </w:p>
          <w:p>
            <w:pPr>
              <w:spacing w:after="0" w:before="0"/>
            </w:pPr>
            <w:r>
              <w:rPr>
                <w:rFonts w:ascii="Arial" w:cs="Arial" w:eastAsia="Arial" w:hAnsi="Arial"/>
                <w:i/>
                <w:iCs/>
                <w:color w:val="4A5568"/>
                <w:sz w:val="18"/>
                <w:szCs w:val="18"/>
              </w:rPr>
              <w:t xml:space="preserve">Display name as it appears in the agent registry. Not the technical identifier.</w:t>
            </w:r>
          </w:p>
          <w:p>
            <w:pPr>
              <w:pBdr>
                <w:bottom w:val="single" w:color="C8CDD6" w:sz="4"/>
              </w:pBdr>
              <w:spacing w:after="0" w:before="80"/>
            </w:pPr>
            <w:r>
              <w:rPr>
                <w:rFonts w:ascii="Arial" w:cs="Arial" w:eastAsia="Arial" w:hAnsi="Arial"/>
                <w:sz w:val="20"/>
                <w:szCs w:val="20"/>
              </w:rPr>
              <w:t xml:space="preserve"/>
            </w:r>
          </w:p>
        </w:tc>
      </w:tr>
    </w:tbl>
    <w:p>
      <w:pPr>
        <w:spacing w:after="10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8CDD6" w:sz="1"/>
              <w:left w:val="single" w:color="C8CDD6" w:sz="1"/>
              <w:bottom w:val="single" w:color="C8CDD6" w:sz="1"/>
              <w:right w:val="single" w:color="C8CDD6" w:sz="1"/>
            </w:tcBorders>
            <w:shd w:fill="FFFFFF" w:val="clear"/>
            <w:tcMar>
              <w:top w:type="dxa" w:w="120"/>
              <w:left w:type="dxa" w:w="180"/>
              <w:bottom w:type="dxa" w:w="120"/>
              <w:right w:type="dxa" w:w="180"/>
            </w:tcMar>
          </w:tcPr>
          <w:p>
            <w:pPr>
              <w:spacing w:after="60" w:before="0"/>
            </w:pPr>
            <w:r>
              <w:rPr>
                <w:rFonts w:ascii="Arial" w:cs="Arial" w:eastAsia="Arial" w:hAnsi="Arial"/>
                <w:b/>
                <w:bCs/>
                <w:color w:val="2B4C7E"/>
                <w:sz w:val="20"/>
                <w:szCs w:val="20"/>
              </w:rPr>
              <w:t xml:space="preserve">Deployment Environment</w:t>
            </w:r>
          </w:p>
          <w:p>
            <w:pPr>
              <w:spacing w:after="0" w:before="0"/>
            </w:pPr>
            <w:r>
              <w:rPr>
                <w:rFonts w:ascii="Arial" w:cs="Arial" w:eastAsia="Arial" w:hAnsi="Arial"/>
                <w:i/>
                <w:iCs/>
                <w:color w:val="4A5568"/>
                <w:sz w:val="18"/>
                <w:szCs w:val="18"/>
              </w:rPr>
              <w:t xml:space="preserve">Microsoft 365 tenant name, Copilot Studio environment, or platform where the agent is deployed.</w:t>
            </w:r>
          </w:p>
          <w:p>
            <w:pPr>
              <w:pBdr>
                <w:bottom w:val="single" w:color="C8CDD6" w:sz="4"/>
              </w:pBdr>
              <w:spacing w:after="0" w:before="80"/>
            </w:pPr>
            <w:r>
              <w:rPr>
                <w:rFonts w:ascii="Arial" w:cs="Arial" w:eastAsia="Arial" w:hAnsi="Arial"/>
                <w:sz w:val="20"/>
                <w:szCs w:val="20"/>
              </w:rPr>
              <w:t xml:space="preserve"/>
            </w:r>
          </w:p>
        </w:tc>
      </w:tr>
    </w:tbl>
    <w:p>
      <w:pPr>
        <w:spacing w:after="10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8CDD6" w:sz="1"/>
              <w:left w:val="single" w:color="C8CDD6" w:sz="1"/>
              <w:bottom w:val="single" w:color="C8CDD6" w:sz="1"/>
              <w:right w:val="single" w:color="C8CDD6" w:sz="1"/>
            </w:tcBorders>
            <w:shd w:fill="FFFFFF" w:val="clear"/>
            <w:tcMar>
              <w:top w:type="dxa" w:w="120"/>
              <w:left w:type="dxa" w:w="180"/>
              <w:bottom w:type="dxa" w:w="120"/>
              <w:right w:type="dxa" w:w="180"/>
            </w:tcMar>
          </w:tcPr>
          <w:p>
            <w:pPr>
              <w:spacing w:after="60" w:before="0"/>
            </w:pPr>
            <w:r>
              <w:rPr>
                <w:rFonts w:ascii="Arial" w:cs="Arial" w:eastAsia="Arial" w:hAnsi="Arial"/>
                <w:b/>
                <w:bCs/>
                <w:color w:val="2B4C7E"/>
                <w:sz w:val="20"/>
                <w:szCs w:val="20"/>
              </w:rPr>
              <w:t xml:space="preserve">Risk Tier</w:t>
            </w:r>
          </w:p>
          <w:p>
            <w:pPr>
              <w:spacing w:after="0" w:before="0"/>
            </w:pPr>
            <w:r>
              <w:rPr>
                <w:rFonts w:ascii="Arial" w:cs="Arial" w:eastAsia="Arial" w:hAnsi="Arial"/>
                <w:i/>
                <w:iCs/>
                <w:color w:val="4A5568"/>
                <w:sz w:val="18"/>
                <w:szCs w:val="18"/>
              </w:rPr>
              <w:t xml:space="preserve">Tier 1 (Low Risk), Tier 2 (Medium Risk), or Tier 3 (High Risk). Determined before this document is written.</w:t>
            </w:r>
          </w:p>
          <w:p>
            <w:pPr>
              <w:pBdr>
                <w:bottom w:val="single" w:color="C8CDD6" w:sz="4"/>
              </w:pBdr>
              <w:spacing w:after="0" w:before="80"/>
            </w:pPr>
            <w:r>
              <w:rPr>
                <w:rFonts w:ascii="Arial" w:cs="Arial" w:eastAsia="Arial" w:hAnsi="Arial"/>
                <w:sz w:val="20"/>
                <w:szCs w:val="20"/>
              </w:rPr>
              <w:t xml:space="preserve"/>
            </w:r>
          </w:p>
        </w:tc>
      </w:tr>
    </w:tbl>
    <w:p>
      <w:pPr>
        <w:spacing w:after="10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8CDD6" w:sz="1"/>
              <w:left w:val="single" w:color="C8CDD6" w:sz="1"/>
              <w:bottom w:val="single" w:color="C8CDD6" w:sz="1"/>
              <w:right w:val="single" w:color="C8CDD6" w:sz="1"/>
            </w:tcBorders>
            <w:shd w:fill="FFFFFF" w:val="clear"/>
            <w:tcMar>
              <w:top w:type="dxa" w:w="120"/>
              <w:left w:type="dxa" w:w="180"/>
              <w:bottom w:type="dxa" w:w="120"/>
              <w:right w:type="dxa" w:w="180"/>
            </w:tcMar>
          </w:tcPr>
          <w:p>
            <w:pPr>
              <w:spacing w:after="60" w:before="0"/>
            </w:pPr>
            <w:r>
              <w:rPr>
                <w:rFonts w:ascii="Arial" w:cs="Arial" w:eastAsia="Arial" w:hAnsi="Arial"/>
                <w:b/>
                <w:bCs/>
                <w:color w:val="2B4C7E"/>
                <w:sz w:val="20"/>
                <w:szCs w:val="20"/>
              </w:rPr>
              <w:t xml:space="preserve">Deployment Date</w:t>
            </w:r>
          </w:p>
          <w:p>
            <w:pPr>
              <w:spacing w:after="0" w:before="0"/>
            </w:pPr>
            <w:r>
              <w:rPr>
                <w:rFonts w:ascii="Arial" w:cs="Arial" w:eastAsia="Arial" w:hAnsi="Arial"/>
                <w:i/>
                <w:iCs/>
                <w:color w:val="4A5568"/>
                <w:sz w:val="18"/>
                <w:szCs w:val="18"/>
              </w:rPr>
              <w:t xml:space="preserve">The date the agent first entered production operation. This document must be signed before this date.</w:t>
            </w:r>
          </w:p>
          <w:p>
            <w:pPr>
              <w:pBdr>
                <w:bottom w:val="single" w:color="C8CDD6" w:sz="4"/>
              </w:pBdr>
              <w:spacing w:after="0" w:before="80"/>
            </w:pPr>
            <w:r>
              <w:rPr>
                <w:rFonts w:ascii="Arial" w:cs="Arial" w:eastAsia="Arial" w:hAnsi="Arial"/>
                <w:sz w:val="20"/>
                <w:szCs w:val="20"/>
              </w:rPr>
              <w:t xml:space="preserve"/>
            </w:r>
          </w:p>
        </w:tc>
      </w:tr>
    </w:tbl>
    <w:p>
      <w:pPr>
        <w:spacing w:after="200" w:before="0"/>
      </w:pPr>
      <w:r>
        <w:t xml:space="preserve"/>
      </w:r>
    </w:p>
    <w:p>
      <w:pPr>
        <w:spacing w:after="80" w:before="240"/>
      </w:pPr>
      <w:r>
        <w:rPr>
          <w:rFonts w:ascii="Arial" w:cs="Arial" w:eastAsia="Arial" w:hAnsi="Arial"/>
          <w:b/>
          <w:bCs/>
          <w:color w:val="E07A30"/>
          <w:spacing w:val="80"/>
          <w:sz w:val="18"/>
          <w:szCs w:val="18"/>
        </w:rPr>
        <w:t xml:space="preserve">SECTION 2: INTENT, THE PURPOSE (LAYER 2)</w:t>
      </w:r>
    </w:p>
    <w:p>
      <w:pPr>
        <w:pBdr>
          <w:bottom w:val="single" w:color="C8CDD6" w:sz="4"/>
        </w:pBdr>
        <w:spacing w:after="0" w:before="0"/>
      </w:pPr>
      <w:r>
        <w:t xml:space="preserve"/>
      </w:r>
    </w:p>
    <w:p>
      <w:pPr>
        <w:spacing w:after="8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E07A30" w:sz="1"/>
              <w:left w:val="thick" w:color="E07A30" w:sz="20"/>
              <w:bottom w:val="single" w:color="E07A30" w:sz="1"/>
              <w:right w:val="single" w:color="E07A30" w:sz="1"/>
            </w:tcBorders>
            <w:shd w:fill="FFF9EC" w:val="clear"/>
            <w:tcMar>
              <w:top w:type="dxa" w:w="100"/>
              <w:left w:type="dxa" w:w="180"/>
              <w:bottom w:type="dxa" w:w="100"/>
              <w:right w:type="dxa" w:w="180"/>
            </w:tcMar>
          </w:tcPr>
          <w:p>
            <w:pPr>
              <w:spacing w:after="40" w:before="0"/>
            </w:pPr>
            <w:r>
              <w:rPr>
                <w:rFonts w:ascii="Arial" w:cs="Arial" w:eastAsia="Arial" w:hAnsi="Arial"/>
                <w:b/>
                <w:bCs/>
                <w:color w:val="E07A30"/>
                <w:spacing w:val="60"/>
                <w:sz w:val="17"/>
                <w:szCs w:val="17"/>
              </w:rPr>
              <w:t xml:space="preserve">LAYER 2 REQUIREMENT</w:t>
            </w:r>
          </w:p>
          <w:p>
            <w:pPr>
              <w:spacing w:after="0" w:before="0"/>
            </w:pPr>
            <w:r>
              <w:rPr>
                <w:rFonts w:ascii="Arial" w:cs="Arial" w:eastAsia="Arial" w:hAnsi="Arial"/>
                <w:color w:val="222222"/>
                <w:sz w:val="20"/>
                <w:szCs w:val="20"/>
              </w:rPr>
              <w:t xml:space="preserve">All three components below must be present. A purpose statement without an explicit scope is incomplete. An authorized scope without explicit prohibitions is incomplete. Expected outputs without human review triggers are incomplete. If any component is missing, the Intent Document does not exist for this agent.</w:t>
            </w:r>
          </w:p>
        </w:tc>
      </w:tr>
    </w:tbl>
    <w:p>
      <w:pPr>
        <w:spacing w:after="120" w:before="0"/>
      </w:pPr>
      <w:r>
        <w:t xml:space="preserve"/>
      </w:r>
    </w:p>
    <w:p>
      <w:pPr>
        <w:spacing w:after="60" w:before="0"/>
      </w:pPr>
      <w:r>
        <w:rPr>
          <w:rFonts w:ascii="Arial" w:cs="Arial" w:eastAsia="Arial" w:hAnsi="Arial"/>
          <w:b/>
          <w:bCs/>
          <w:color w:val="2B4C7E"/>
          <w:sz w:val="22"/>
          <w:szCs w:val="22"/>
        </w:rPr>
        <w:t xml:space="preserve">Purpose Statement</w:t>
      </w:r>
    </w:p>
    <w:p>
      <w:pPr>
        <w:spacing w:after="80" w:before="0"/>
      </w:pPr>
      <w:r>
        <w:rPr>
          <w:rFonts w:ascii="Arial" w:cs="Arial" w:eastAsia="Arial" w:hAnsi="Arial"/>
          <w:i/>
          <w:iCs/>
          <w:color w:val="4A5568"/>
          <w:sz w:val="18"/>
          <w:szCs w:val="18"/>
        </w:rPr>
        <w:t xml:space="preserve">What this agent is supposed to accomplish, in plain language that a compliance officer can evaluate without technical context. If this sentence could have been written by reading the configuration file, it is a capabilities description, not a purpose statement.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8CDD6" w:sz="1"/>
              <w:left w:val="single" w:color="C8CDD6" w:sz="1"/>
              <w:bottom w:val="single" w:color="C8CDD6" w:sz="1"/>
              <w:right w:val="single" w:color="C8CDD6" w:sz="1"/>
            </w:tcBorders>
            <w:shd w:fill="FFFFFF" w:val="clear"/>
            <w:tcMar>
              <w:top w:type="dxa" w:w="120"/>
              <w:left w:type="dxa" w:w="180"/>
              <w:bottom w:type="dxa" w:w="300"/>
              <w:right w:type="dxa" w:w="180"/>
            </w:tcMar>
          </w:tcPr>
          <w:p>
            <w:pPr>
              <w:spacing w:after="0" w:before="0"/>
            </w:pPr>
            <w:r>
              <w:rPr>
                <w:rFonts w:ascii="Arial" w:cs="Arial" w:eastAsia="Arial" w:hAnsi="Arial"/>
                <w:sz w:val="22"/>
                <w:szCs w:val="22"/>
              </w:rPr>
              <w:t xml:space="preserve"/>
            </w:r>
          </w:p>
          <w:p>
            <w:pPr>
              <w:spacing w:after="0" w:before="0"/>
            </w:pPr>
            <w:r>
              <w:rPr>
                <w:rFonts w:ascii="Arial" w:cs="Arial" w:eastAsia="Arial" w:hAnsi="Arial"/>
                <w:sz w:val="22"/>
                <w:szCs w:val="22"/>
              </w:rPr>
              <w:t xml:space="preserve"/>
            </w:r>
          </w:p>
          <w:p>
            <w:pPr>
              <w:spacing w:after="0" w:before="0"/>
            </w:pPr>
            <w:r>
              <w:rPr>
                <w:rFonts w:ascii="Arial" w:cs="Arial" w:eastAsia="Arial" w:hAnsi="Arial"/>
                <w:sz w:val="22"/>
                <w:szCs w:val="22"/>
              </w:rPr>
              <w:t xml:space="preserve"/>
            </w:r>
          </w:p>
        </w:tc>
      </w:tr>
    </w:tbl>
    <w:p>
      <w:pPr>
        <w:spacing w:after="120" w:before="0"/>
      </w:pPr>
      <w:r>
        <w:t xml:space="preserve"/>
      </w:r>
    </w:p>
    <w:p>
      <w:pPr>
        <w:spacing w:after="60" w:before="0"/>
      </w:pPr>
      <w:r>
        <w:rPr>
          <w:rFonts w:ascii="Arial" w:cs="Arial" w:eastAsia="Arial" w:hAnsi="Arial"/>
          <w:b/>
          <w:bCs/>
          <w:color w:val="2B4C7E"/>
          <w:sz w:val="22"/>
          <w:szCs w:val="22"/>
        </w:rPr>
        <w:t xml:space="preserve">Authorized Actions</w:t>
      </w:r>
    </w:p>
    <w:p>
      <w:pPr>
        <w:spacing w:after="80" w:before="0"/>
      </w:pPr>
      <w:r>
        <w:rPr>
          <w:rFonts w:ascii="Arial" w:cs="Arial" w:eastAsia="Arial" w:hAnsi="Arial"/>
          <w:i/>
          <w:iCs/>
          <w:color w:val="4A5568"/>
          <w:sz w:val="18"/>
          <w:szCs w:val="18"/>
        </w:rPr>
        <w:t xml:space="preserve">Specific actions this agent may take, tied to named systems. Use "The agent may:" for each permitted action. Be specific enough that a new compliance officer could determine whether a specific observed action was authorized.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8CDD6" w:sz="1"/>
              <w:left w:val="single" w:color="C8CDD6" w:sz="1"/>
              <w:bottom w:val="single" w:color="C8CDD6" w:sz="1"/>
              <w:right w:val="single" w:color="C8CDD6" w:sz="1"/>
            </w:tcBorders>
            <w:shd w:fill="FFFFFF" w:val="clear"/>
            <w:tcMar>
              <w:top w:type="dxa" w:w="80"/>
              <w:left w:type="dxa" w:w="180"/>
              <w:bottom w:type="dxa" w:w="80"/>
              <w:right w:type="dxa" w:w="180"/>
            </w:tcMar>
          </w:tcPr>
          <w:p>
            <w:pPr>
              <w:spacing w:after="40" w:before="0"/>
            </w:pPr>
            <w:r>
              <w:rPr>
                <w:rFonts w:ascii="Arial" w:cs="Arial" w:eastAsia="Arial" w:hAnsi="Arial"/>
                <w:color w:val="4A5568"/>
                <w:sz w:val="20"/>
                <w:szCs w:val="20"/>
              </w:rPr>
              <w:t xml:space="preserve">The agent may:</w:t>
            </w:r>
          </w:p>
          <w:p>
            <w:pPr>
              <w:spacing w:after="40" w:before="0"/>
            </w:pPr>
            <w:r>
              <w:rPr>
                <w:rFonts w:ascii="Arial" w:cs="Arial" w:eastAsia="Arial" w:hAnsi="Arial"/>
                <w:color w:val="4A5568"/>
                <w:sz w:val="20"/>
                <w:szCs w:val="20"/>
              </w:rPr>
              <w:t xml:space="preserve">The agent may:</w:t>
            </w:r>
          </w:p>
          <w:p>
            <w:pPr>
              <w:spacing w:after="40" w:before="0"/>
            </w:pPr>
            <w:r>
              <w:rPr>
                <w:rFonts w:ascii="Arial" w:cs="Arial" w:eastAsia="Arial" w:hAnsi="Arial"/>
                <w:color w:val="4A5568"/>
                <w:sz w:val="20"/>
                <w:szCs w:val="20"/>
              </w:rPr>
              <w:t xml:space="preserve">The agent may:</w:t>
            </w:r>
          </w:p>
          <w:p>
            <w:pPr>
              <w:spacing w:after="0" w:before="0"/>
            </w:pPr>
            <w:r>
              <w:rPr>
                <w:rFonts w:ascii="Arial" w:cs="Arial" w:eastAsia="Arial" w:hAnsi="Arial"/>
                <w:color w:val="4A5568"/>
                <w:sz w:val="20"/>
                <w:szCs w:val="20"/>
              </w:rPr>
              <w:t xml:space="preserve">The agent may:</w:t>
            </w:r>
          </w:p>
        </w:tc>
      </w:tr>
    </w:tbl>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E07A30" w:sz="1"/>
              <w:left w:val="single" w:color="E07A30" w:sz="1"/>
              <w:bottom w:val="single" w:color="E07A30" w:sz="1"/>
              <w:right w:val="single" w:color="E07A30" w:sz="1"/>
            </w:tcBorders>
            <w:shd w:fill="FFF9EC" w:val="clear"/>
            <w:tcMar>
              <w:top w:type="dxa" w:w="80"/>
              <w:left w:type="dxa" w:w="180"/>
              <w:bottom w:type="dxa" w:w="80"/>
              <w:right w:type="dxa" w:w="180"/>
            </w:tcMar>
          </w:tcPr>
          <w:p>
            <w:pPr>
              <w:spacing w:after="60" w:before="0"/>
            </w:pPr>
            <w:r>
              <w:rPr>
                <w:rFonts w:ascii="Arial" w:cs="Arial" w:eastAsia="Arial" w:hAnsi="Arial"/>
                <w:b/>
                <w:bCs/>
                <w:color w:val="E07A30"/>
                <w:spacing w:val="60"/>
                <w:sz w:val="18"/>
                <w:szCs w:val="18"/>
              </w:rPr>
              <w:t xml:space="preserve">EXPLICIT PROHIBITIONS</w:t>
            </w:r>
            <w:r>
              <w:rPr>
                <w:rFonts w:ascii="Arial" w:cs="Arial" w:eastAsia="Arial" w:hAnsi="Arial"/>
                <w:b/>
                <w:bCs/>
                <w:color w:val="E07A30"/>
                <w:sz w:val="17"/>
                <w:szCs w:val="17"/>
              </w:rPr>
              <w:t xml:space="preserve">  — THIS FIELD CANNOT BE BLANK</w:t>
            </w:r>
          </w:p>
          <w:p>
            <w:pPr>
              <w:spacing w:after="80" w:before="0"/>
            </w:pPr>
            <w:r>
              <w:rPr>
                <w:rFonts w:ascii="Arial" w:cs="Arial" w:eastAsia="Arial" w:hAnsi="Arial"/>
                <w:i/>
                <w:iCs/>
                <w:color w:val="4A5568"/>
                <w:sz w:val="18"/>
                <w:szCs w:val="18"/>
              </w:rPr>
              <w:t xml:space="preserve">Use "The agent may NOT:" for each prohibition. Authorization boundaries without explicit prohibitions are incomplete. This field defines the boundary from the outside.</w:t>
            </w:r>
          </w:p>
          <w:p>
            <w:pPr>
              <w:spacing w:after="40" w:before="0"/>
            </w:pPr>
            <w:r>
              <w:rPr>
                <w:rFonts w:ascii="Arial" w:cs="Arial" w:eastAsia="Arial" w:hAnsi="Arial"/>
                <w:color w:val="222222"/>
                <w:sz w:val="20"/>
                <w:szCs w:val="20"/>
              </w:rPr>
              <w:t xml:space="preserve">The agent may NOT:</w:t>
            </w:r>
          </w:p>
          <w:p>
            <w:pPr>
              <w:spacing w:after="40" w:before="0"/>
            </w:pPr>
            <w:r>
              <w:rPr>
                <w:rFonts w:ascii="Arial" w:cs="Arial" w:eastAsia="Arial" w:hAnsi="Arial"/>
                <w:color w:val="222222"/>
                <w:sz w:val="20"/>
                <w:szCs w:val="20"/>
              </w:rPr>
              <w:t xml:space="preserve">The agent may NOT:</w:t>
            </w:r>
          </w:p>
          <w:p>
            <w:pPr>
              <w:spacing w:after="40" w:before="0"/>
            </w:pPr>
            <w:r>
              <w:rPr>
                <w:rFonts w:ascii="Arial" w:cs="Arial" w:eastAsia="Arial" w:hAnsi="Arial"/>
                <w:color w:val="222222"/>
                <w:sz w:val="20"/>
                <w:szCs w:val="20"/>
              </w:rPr>
              <w:t xml:space="preserve">The agent may NOT:</w:t>
            </w:r>
          </w:p>
          <w:p>
            <w:pPr>
              <w:spacing w:after="0" w:before="0"/>
            </w:pPr>
            <w:r>
              <w:rPr>
                <w:rFonts w:ascii="Arial" w:cs="Arial" w:eastAsia="Arial" w:hAnsi="Arial"/>
                <w:color w:val="222222"/>
                <w:sz w:val="20"/>
                <w:szCs w:val="20"/>
              </w:rPr>
              <w:t xml:space="preserve">The agent may NOT:</w:t>
            </w:r>
          </w:p>
        </w:tc>
      </w:tr>
    </w:tbl>
    <w:p>
      <w:pPr>
        <w:spacing w:after="120" w:before="0"/>
      </w:pPr>
      <w:r>
        <w:t xml:space="preserve"/>
      </w:r>
    </w:p>
    <w:p>
      <w:pPr>
        <w:spacing w:after="60" w:before="0"/>
      </w:pPr>
      <w:r>
        <w:rPr>
          <w:rFonts w:ascii="Arial" w:cs="Arial" w:eastAsia="Arial" w:hAnsi="Arial"/>
          <w:b/>
          <w:bCs/>
          <w:color w:val="2B4C7E"/>
          <w:sz w:val="22"/>
          <w:szCs w:val="22"/>
        </w:rPr>
        <w:t xml:space="preserve">Data Access Scope</w:t>
      </w:r>
    </w:p>
    <w:p>
      <w:pPr>
        <w:spacing w:after="80" w:before="0"/>
      </w:pPr>
      <w:r>
        <w:rPr>
          <w:rFonts w:ascii="Arial" w:cs="Arial" w:eastAsia="Arial" w:hAnsi="Arial"/>
          <w:i/>
          <w:iCs/>
          <w:color w:val="4A5568"/>
          <w:sz w:val="18"/>
          <w:szCs w:val="18"/>
        </w:rPr>
        <w:t xml:space="preserve">Named systems with read/write designation. If the agent can access it, list it. If it is not listed, the agent is not authorized to access it.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2340"/>
        <w:gridCol w:w="2340"/>
      </w:tblGrid>
      <w:tr>
        <w:tc>
          <w:tcPr>
            <w:tcBorders>
              <w:top w:val="single" w:color="2B4C7E" w:sz="1"/>
              <w:left w:val="single" w:color="2B4C7E" w:sz="1"/>
              <w:bottom w:val="single" w:color="2B4C7E" w:sz="1"/>
              <w:right w:val="single" w:color="2B4C7E" w:sz="1"/>
            </w:tcBorders>
            <w:shd w:fill="1B2A4A" w:val="clear"/>
            <w:tcMar>
              <w:top w:type="dxa" w:w="60"/>
              <w:left w:type="dxa" w:w="120"/>
              <w:bottom w:type="dxa" w:w="60"/>
              <w:right w:type="dxa" w:w="120"/>
            </w:tcMar>
          </w:tcPr>
          <w:p>
            <w:r>
              <w:rPr>
                <w:rFonts w:ascii="Arial" w:cs="Arial" w:eastAsia="Arial" w:hAnsi="Arial"/>
                <w:b/>
                <w:bCs/>
                <w:color w:val="FFFFFF"/>
                <w:sz w:val="19"/>
                <w:szCs w:val="19"/>
              </w:rPr>
              <w:t xml:space="preserve">System Name</w:t>
            </w:r>
          </w:p>
        </w:tc>
        <w:tc>
          <w:tcPr>
            <w:tcBorders>
              <w:top w:val="single" w:color="2B4C7E" w:sz="1"/>
              <w:left w:val="single" w:color="2B4C7E" w:sz="1"/>
              <w:bottom w:val="single" w:color="2B4C7E" w:sz="1"/>
              <w:right w:val="single" w:color="2B4C7E" w:sz="1"/>
            </w:tcBorders>
            <w:shd w:fill="1B2A4A" w:val="clear"/>
            <w:tcMar>
              <w:top w:type="dxa" w:w="60"/>
              <w:left w:type="dxa" w:w="120"/>
              <w:bottom w:type="dxa" w:w="60"/>
              <w:right w:type="dxa" w:w="120"/>
            </w:tcMar>
          </w:tcPr>
          <w:p>
            <w:r>
              <w:rPr>
                <w:rFonts w:ascii="Arial" w:cs="Arial" w:eastAsia="Arial" w:hAnsi="Arial"/>
                <w:b/>
                <w:bCs/>
                <w:color w:val="FFFFFF"/>
                <w:sz w:val="19"/>
                <w:szCs w:val="19"/>
              </w:rPr>
              <w:t xml:space="preserve">Access Type</w:t>
            </w:r>
          </w:p>
        </w:tc>
        <w:tc>
          <w:tcPr>
            <w:tcBorders>
              <w:top w:val="single" w:color="2B4C7E" w:sz="1"/>
              <w:left w:val="single" w:color="2B4C7E" w:sz="1"/>
              <w:bottom w:val="single" w:color="2B4C7E" w:sz="1"/>
              <w:right w:val="single" w:color="2B4C7E" w:sz="1"/>
            </w:tcBorders>
            <w:shd w:fill="1B2A4A" w:val="clear"/>
            <w:tcMar>
              <w:top w:type="dxa" w:w="60"/>
              <w:left w:type="dxa" w:w="120"/>
              <w:bottom w:type="dxa" w:w="60"/>
              <w:right w:type="dxa" w:w="120"/>
            </w:tcMar>
          </w:tcPr>
          <w:p>
            <w:r>
              <w:rPr>
                <w:rFonts w:ascii="Arial" w:cs="Arial" w:eastAsia="Arial" w:hAnsi="Arial"/>
                <w:b/>
                <w:bCs/>
                <w:color w:val="FFFFFF"/>
                <w:sz w:val="19"/>
                <w:szCs w:val="19"/>
              </w:rPr>
              <w:t xml:space="preserve">Scope Notes</w:t>
            </w:r>
          </w:p>
        </w:tc>
      </w:tr>
      <w:tr>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sz w:val="20"/>
                <w:szCs w:val="20"/>
              </w:rPr>
              <w:t xml:space="preserve"/>
            </w:r>
          </w:p>
        </w:tc>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i/>
                <w:iCs/>
                <w:color w:val="4A5568"/>
                <w:sz w:val="18"/>
                <w:szCs w:val="18"/>
              </w:rPr>
              <w:t xml:space="preserve">Read / Write / Read-Write</w:t>
            </w:r>
          </w:p>
        </w:tc>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sz w:val="20"/>
                <w:szCs w:val="20"/>
              </w:rPr>
              <w:t xml:space="preserve"/>
            </w:r>
          </w:p>
        </w:tc>
      </w:tr>
      <w:tr>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sz w:val="20"/>
                <w:szCs w:val="20"/>
              </w:rPr>
              <w:t xml:space="preserve"/>
            </w:r>
          </w:p>
        </w:tc>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i/>
                <w:iCs/>
                <w:color w:val="4A5568"/>
                <w:sz w:val="18"/>
                <w:szCs w:val="18"/>
              </w:rPr>
              <w:t xml:space="preserve">Read / Write / Read-Write</w:t>
            </w:r>
          </w:p>
        </w:tc>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sz w:val="20"/>
                <w:szCs w:val="20"/>
              </w:rPr>
              <w:t xml:space="preserve"/>
            </w:r>
          </w:p>
        </w:tc>
      </w:tr>
      <w:tr>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sz w:val="20"/>
                <w:szCs w:val="20"/>
              </w:rPr>
              <w:t xml:space="preserve"/>
            </w:r>
          </w:p>
        </w:tc>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i/>
                <w:iCs/>
                <w:color w:val="4A5568"/>
                <w:sz w:val="18"/>
                <w:szCs w:val="18"/>
              </w:rPr>
              <w:t xml:space="preserve">Read / Write / Read-Write</w:t>
            </w:r>
          </w:p>
        </w:tc>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sz w:val="20"/>
                <w:szCs w:val="20"/>
              </w:rPr>
              <w:t xml:space="preserve"/>
            </w:r>
          </w:p>
        </w:tc>
      </w:tr>
      <w:tr>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sz w:val="20"/>
                <w:szCs w:val="20"/>
              </w:rPr>
              <w:t xml:space="preserve"/>
            </w:r>
          </w:p>
        </w:tc>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i/>
                <w:iCs/>
                <w:color w:val="4A5568"/>
                <w:sz w:val="18"/>
                <w:szCs w:val="18"/>
              </w:rPr>
              <w:t xml:space="preserve">Read / Write / Read-Write</w:t>
            </w:r>
          </w:p>
        </w:tc>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sz w:val="20"/>
                <w:szCs w:val="20"/>
              </w:rPr>
              <w:t xml:space="preserve"/>
            </w:r>
          </w:p>
        </w:tc>
      </w:tr>
    </w:tbl>
    <w:p>
      <w:pPr>
        <w:spacing w:after="120" w:before="0"/>
      </w:pPr>
      <w:r>
        <w:t xml:space="preserve"/>
      </w:r>
    </w:p>
    <w:p>
      <w:pPr>
        <w:spacing w:after="60" w:before="0"/>
      </w:pPr>
      <w:r>
        <w:rPr>
          <w:rFonts w:ascii="Arial" w:cs="Arial" w:eastAsia="Arial" w:hAnsi="Arial"/>
          <w:b/>
          <w:bCs/>
          <w:color w:val="2B4C7E"/>
          <w:sz w:val="22"/>
          <w:szCs w:val="22"/>
        </w:rPr>
        <w:t xml:space="preserve">Expected Outputs and Human Review Triggers</w:t>
      </w:r>
    </w:p>
    <w:p>
      <w:pPr>
        <w:spacing w:after="80" w:before="0"/>
      </w:pPr>
      <w:r>
        <w:rPr>
          <w:rFonts w:ascii="Arial" w:cs="Arial" w:eastAsia="Arial" w:hAnsi="Arial"/>
          <w:i/>
          <w:iCs/>
          <w:color w:val="4A5568"/>
          <w:sz w:val="18"/>
          <w:szCs w:val="18"/>
        </w:rPr>
        <w:t xml:space="preserve">Describe what correct behavior looks like and what constitutes an anomalous output requiring human review. This is the standard against which production behavior is measured.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Borders>
              <w:top w:val="single" w:color="2B4C7E" w:sz="1"/>
              <w:left w:val="single" w:color="2B4C7E" w:sz="1"/>
              <w:bottom w:val="single" w:color="2B4C7E" w:sz="1"/>
              <w:right w:val="single" w:color="2B4C7E" w:sz="1"/>
            </w:tcBorders>
            <w:shd w:fill="1B2A4A" w:val="clear"/>
            <w:tcMar>
              <w:top w:type="dxa" w:w="60"/>
              <w:left w:type="dxa" w:w="120"/>
              <w:bottom w:type="dxa" w:w="60"/>
              <w:right w:type="dxa" w:w="120"/>
            </w:tcMar>
          </w:tcPr>
          <w:p>
            <w:r>
              <w:rPr>
                <w:rFonts w:ascii="Arial" w:cs="Arial" w:eastAsia="Arial" w:hAnsi="Arial"/>
                <w:b/>
                <w:bCs/>
                <w:color w:val="FFFFFF"/>
                <w:sz w:val="19"/>
                <w:szCs w:val="19"/>
              </w:rPr>
              <w:t xml:space="preserve">Correct Behavior</w:t>
            </w:r>
          </w:p>
        </w:tc>
        <w:tc>
          <w:tcPr>
            <w:tcBorders>
              <w:top w:val="single" w:color="2B4C7E" w:sz="1"/>
              <w:left w:val="single" w:color="2B4C7E" w:sz="1"/>
              <w:bottom w:val="single" w:color="2B4C7E" w:sz="1"/>
              <w:right w:val="single" w:color="2B4C7E" w:sz="1"/>
            </w:tcBorders>
            <w:shd w:fill="1B2A4A" w:val="clear"/>
            <w:tcMar>
              <w:top w:type="dxa" w:w="60"/>
              <w:left w:type="dxa" w:w="120"/>
              <w:bottom w:type="dxa" w:w="60"/>
              <w:right w:type="dxa" w:w="120"/>
            </w:tcMar>
          </w:tcPr>
          <w:p>
            <w:r>
              <w:rPr>
                <w:rFonts w:ascii="Arial" w:cs="Arial" w:eastAsia="Arial" w:hAnsi="Arial"/>
                <w:b/>
                <w:bCs/>
                <w:color w:val="FFFFFF"/>
                <w:sz w:val="19"/>
                <w:szCs w:val="19"/>
              </w:rPr>
              <w:t xml:space="preserve">Triggers Human Review</w:t>
            </w:r>
          </w:p>
        </w:tc>
      </w:tr>
      <w:tr>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sz w:val="20"/>
                <w:szCs w:val="20"/>
              </w:rPr>
              <w:t xml:space="preserve"/>
            </w:r>
          </w:p>
        </w:tc>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sz w:val="20"/>
                <w:szCs w:val="20"/>
              </w:rPr>
              <w:t xml:space="preserve"/>
            </w:r>
          </w:p>
        </w:tc>
      </w:tr>
      <w:tr>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sz w:val="20"/>
                <w:szCs w:val="20"/>
              </w:rPr>
              <w:t xml:space="preserve"/>
            </w:r>
          </w:p>
        </w:tc>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sz w:val="20"/>
                <w:szCs w:val="20"/>
              </w:rPr>
              <w:t xml:space="preserve"/>
            </w:r>
          </w:p>
        </w:tc>
      </w:tr>
      <w:tr>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sz w:val="20"/>
                <w:szCs w:val="20"/>
              </w:rPr>
              <w:t xml:space="preserve"/>
            </w:r>
          </w:p>
        </w:tc>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sz w:val="20"/>
                <w:szCs w:val="20"/>
              </w:rPr>
              <w:t xml:space="preserve"/>
            </w:r>
          </w:p>
        </w:tc>
      </w:tr>
    </w:tbl>
    <w:p>
      <w:pPr>
        <w:spacing w:after="200" w:before="0"/>
      </w:pPr>
      <w:r>
        <w:t xml:space="preserve"/>
      </w:r>
    </w:p>
    <w:p>
      <w:pPr>
        <w:spacing w:after="80" w:before="240"/>
      </w:pPr>
      <w:r>
        <w:rPr>
          <w:rFonts w:ascii="Arial" w:cs="Arial" w:eastAsia="Arial" w:hAnsi="Arial"/>
          <w:b/>
          <w:bCs/>
          <w:color w:val="E07A30"/>
          <w:spacing w:val="80"/>
          <w:sz w:val="18"/>
          <w:szCs w:val="18"/>
        </w:rPr>
        <w:t xml:space="preserve">SECTION 3: GOVERNANCE, THE ACCOUNTABILITY (LAYER 3)</w:t>
      </w:r>
    </w:p>
    <w:p>
      <w:pPr>
        <w:pBdr>
          <w:bottom w:val="single" w:color="C8CDD6" w:sz="4"/>
        </w:pBdr>
        <w:spacing w:after="0" w:before="0"/>
      </w:pPr>
      <w:r>
        <w:t xml:space="preserve"/>
      </w:r>
    </w:p>
    <w:p>
      <w:pPr>
        <w:spacing w:after="8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8CDD6" w:sz="1"/>
              <w:left w:val="single" w:color="C8CDD6" w:sz="1"/>
              <w:bottom w:val="single" w:color="C8CDD6" w:sz="1"/>
              <w:right w:val="single" w:color="C8CDD6" w:sz="1"/>
            </w:tcBorders>
            <w:shd w:fill="FFFFFF" w:val="clear"/>
            <w:tcMar>
              <w:top w:type="dxa" w:w="120"/>
              <w:left w:type="dxa" w:w="180"/>
              <w:bottom w:type="dxa" w:w="120"/>
              <w:right w:type="dxa" w:w="180"/>
            </w:tcMar>
          </w:tcPr>
          <w:p>
            <w:pPr>
              <w:spacing w:after="60" w:before="0"/>
            </w:pPr>
            <w:r>
              <w:rPr>
                <w:rFonts w:ascii="Arial" w:cs="Arial" w:eastAsia="Arial" w:hAnsi="Arial"/>
                <w:b/>
                <w:bCs/>
                <w:color w:val="2B4C7E"/>
                <w:sz w:val="20"/>
                <w:szCs w:val="20"/>
              </w:rPr>
              <w:t xml:space="preserve">Consequence Owner</w:t>
            </w:r>
          </w:p>
          <w:p>
            <w:pPr>
              <w:spacing w:after="0" w:before="0"/>
            </w:pPr>
            <w:r>
              <w:rPr>
                <w:rFonts w:ascii="Arial" w:cs="Arial" w:eastAsia="Arial" w:hAnsi="Arial"/>
                <w:i/>
                <w:iCs/>
                <w:color w:val="4A5568"/>
                <w:sz w:val="18"/>
                <w:szCs w:val="18"/>
              </w:rPr>
              <w:t xml:space="preserve">Full name, title, and organizational unit. This is the named individual accountable for board-level accountability and incident escalation decisions. Not a team. Not a role. A specific person who knows they own this agent.</w:t>
            </w:r>
          </w:p>
          <w:p>
            <w:pPr>
              <w:pBdr>
                <w:bottom w:val="single" w:color="C8CDD6" w:sz="4"/>
              </w:pBdr>
              <w:spacing w:after="0" w:before="80"/>
            </w:pPr>
            <w:r>
              <w:rPr>
                <w:rFonts w:ascii="Arial" w:cs="Arial" w:eastAsia="Arial" w:hAnsi="Arial"/>
                <w:sz w:val="20"/>
                <w:szCs w:val="20"/>
              </w:rPr>
              <w:t xml:space="preserve"/>
            </w:r>
          </w:p>
        </w:tc>
      </w:tr>
    </w:tbl>
    <w:p>
      <w:pPr>
        <w:spacing w:after="10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8CDD6" w:sz="1"/>
              <w:left w:val="single" w:color="C8CDD6" w:sz="1"/>
              <w:bottom w:val="single" w:color="C8CDD6" w:sz="1"/>
              <w:right w:val="single" w:color="C8CDD6" w:sz="1"/>
            </w:tcBorders>
            <w:shd w:fill="FFFFFF" w:val="clear"/>
            <w:tcMar>
              <w:top w:type="dxa" w:w="120"/>
              <w:left w:type="dxa" w:w="180"/>
              <w:bottom w:type="dxa" w:w="120"/>
              <w:right w:type="dxa" w:w="180"/>
            </w:tcMar>
          </w:tcPr>
          <w:p>
            <w:pPr>
              <w:spacing w:after="60" w:before="0"/>
            </w:pPr>
            <w:r>
              <w:rPr>
                <w:rFonts w:ascii="Arial" w:cs="Arial" w:eastAsia="Arial" w:hAnsi="Arial"/>
                <w:b/>
                <w:bCs/>
                <w:color w:val="2B4C7E"/>
                <w:sz w:val="20"/>
                <w:szCs w:val="20"/>
              </w:rPr>
              <w:t xml:space="preserve">Consequence Owner Contact</w:t>
            </w:r>
          </w:p>
          <w:p>
            <w:pPr>
              <w:spacing w:after="0" w:before="0"/>
            </w:pPr>
            <w:r>
              <w:rPr>
                <w:rFonts w:ascii="Arial" w:cs="Arial" w:eastAsia="Arial" w:hAnsi="Arial"/>
                <w:i/>
                <w:iCs/>
                <w:color w:val="4A5568"/>
                <w:sz w:val="18"/>
                <w:szCs w:val="18"/>
              </w:rPr>
              <w:t xml:space="preserve">Work phone and email. Reachable during an incident.</w:t>
            </w:r>
          </w:p>
          <w:p>
            <w:pPr>
              <w:pBdr>
                <w:bottom w:val="single" w:color="C8CDD6" w:sz="4"/>
              </w:pBdr>
              <w:spacing w:after="0" w:before="80"/>
            </w:pPr>
            <w:r>
              <w:rPr>
                <w:rFonts w:ascii="Arial" w:cs="Arial" w:eastAsia="Arial" w:hAnsi="Arial"/>
                <w:sz w:val="20"/>
                <w:szCs w:val="20"/>
              </w:rPr>
              <w:t xml:space="preserve"/>
            </w:r>
          </w:p>
        </w:tc>
      </w:tr>
    </w:tbl>
    <w:p>
      <w:pPr>
        <w:spacing w:after="10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8CDD6" w:sz="1"/>
              <w:left w:val="single" w:color="C8CDD6" w:sz="1"/>
              <w:bottom w:val="single" w:color="C8CDD6" w:sz="1"/>
              <w:right w:val="single" w:color="C8CDD6" w:sz="1"/>
            </w:tcBorders>
            <w:shd w:fill="FFFFFF" w:val="clear"/>
            <w:tcMar>
              <w:top w:type="dxa" w:w="120"/>
              <w:left w:type="dxa" w:w="180"/>
              <w:bottom w:type="dxa" w:w="120"/>
              <w:right w:type="dxa" w:w="180"/>
            </w:tcMar>
          </w:tcPr>
          <w:p>
            <w:pPr>
              <w:spacing w:after="60" w:before="0"/>
            </w:pPr>
            <w:r>
              <w:rPr>
                <w:rFonts w:ascii="Arial" w:cs="Arial" w:eastAsia="Arial" w:hAnsi="Arial"/>
                <w:b/>
                <w:bCs/>
                <w:color w:val="2B4C7E"/>
                <w:sz w:val="20"/>
                <w:szCs w:val="20"/>
              </w:rPr>
              <w:t xml:space="preserve">Technical Owner</w:t>
            </w:r>
          </w:p>
          <w:p>
            <w:pPr>
              <w:spacing w:after="0" w:before="0"/>
            </w:pPr>
            <w:r>
              <w:rPr>
                <w:rFonts w:ascii="Arial" w:cs="Arial" w:eastAsia="Arial" w:hAnsi="Arial"/>
                <w:i/>
                <w:iCs/>
                <w:color w:val="4A5568"/>
                <w:sz w:val="18"/>
                <w:szCs w:val="18"/>
              </w:rPr>
              <w:t xml:space="preserve">Full name and title. Responsible for agent configuration, credentials, monitoring, and day-to-day control enforcement. Must be a different individual from the Consequence Owner.</w:t>
            </w:r>
          </w:p>
          <w:p>
            <w:pPr>
              <w:pBdr>
                <w:bottom w:val="single" w:color="C8CDD6" w:sz="4"/>
              </w:pBdr>
              <w:spacing w:after="0" w:before="80"/>
            </w:pPr>
            <w:r>
              <w:rPr>
                <w:rFonts w:ascii="Arial" w:cs="Arial" w:eastAsia="Arial" w:hAnsi="Arial"/>
                <w:sz w:val="20"/>
                <w:szCs w:val="20"/>
              </w:rPr>
              <w:t xml:space="preserve"/>
            </w:r>
          </w:p>
        </w:tc>
      </w:tr>
    </w:tbl>
    <w:p>
      <w:pPr>
        <w:spacing w:after="10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8CDD6" w:sz="1"/>
              <w:left w:val="single" w:color="C8CDD6" w:sz="1"/>
              <w:bottom w:val="single" w:color="C8CDD6" w:sz="1"/>
              <w:right w:val="single" w:color="C8CDD6" w:sz="1"/>
            </w:tcBorders>
            <w:shd w:fill="FFFFFF" w:val="clear"/>
            <w:tcMar>
              <w:top w:type="dxa" w:w="120"/>
              <w:left w:type="dxa" w:w="180"/>
              <w:bottom w:type="dxa" w:w="120"/>
              <w:right w:type="dxa" w:w="180"/>
            </w:tcMar>
          </w:tcPr>
          <w:p>
            <w:pPr>
              <w:spacing w:after="60" w:before="0"/>
            </w:pPr>
            <w:r>
              <w:rPr>
                <w:rFonts w:ascii="Arial" w:cs="Arial" w:eastAsia="Arial" w:hAnsi="Arial"/>
                <w:b/>
                <w:bCs/>
                <w:color w:val="2B4C7E"/>
                <w:sz w:val="20"/>
                <w:szCs w:val="20"/>
              </w:rPr>
              <w:t xml:space="preserve">Review Cadence</w:t>
            </w:r>
          </w:p>
          <w:p>
            <w:pPr>
              <w:spacing w:after="0" w:before="0"/>
            </w:pPr>
            <w:r>
              <w:rPr>
                <w:rFonts w:ascii="Arial" w:cs="Arial" w:eastAsia="Arial" w:hAnsi="Arial"/>
                <w:i/>
                <w:iCs/>
                <w:color w:val="4A5568"/>
                <w:sz w:val="18"/>
                <w:szCs w:val="18"/>
              </w:rPr>
              <w:t xml:space="preserve">Scheduled interval (e.g., quarterly) plus named event triggers: any Microsoft product release that modifies agent capabilities, any change to system integrations, any incident involving this agent, any change to the Consequence Owner or Technical Owner.</w:t>
            </w:r>
          </w:p>
          <w:p>
            <w:pPr>
              <w:pBdr>
                <w:bottom w:val="single" w:color="C8CDD6" w:sz="4"/>
              </w:pBdr>
              <w:spacing w:after="0" w:before="80"/>
            </w:pPr>
            <w:r>
              <w:rPr>
                <w:rFonts w:ascii="Arial" w:cs="Arial" w:eastAsia="Arial" w:hAnsi="Arial"/>
                <w:sz w:val="20"/>
                <w:szCs w:val="20"/>
              </w:rPr>
              <w:t xml:space="preserve"/>
            </w:r>
          </w:p>
        </w:tc>
      </w:tr>
    </w:tbl>
    <w:p>
      <w:pPr>
        <w:spacing w:after="10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8CDD6" w:sz="1"/>
              <w:left w:val="single" w:color="C8CDD6" w:sz="1"/>
              <w:bottom w:val="single" w:color="C8CDD6" w:sz="1"/>
              <w:right w:val="single" w:color="C8CDD6" w:sz="1"/>
            </w:tcBorders>
            <w:shd w:fill="FFFFFF" w:val="clear"/>
            <w:tcMar>
              <w:top w:type="dxa" w:w="120"/>
              <w:left w:type="dxa" w:w="180"/>
              <w:bottom w:type="dxa" w:w="120"/>
              <w:right w:type="dxa" w:w="180"/>
            </w:tcMar>
          </w:tcPr>
          <w:p>
            <w:pPr>
              <w:spacing w:after="60" w:before="0"/>
            </w:pPr>
            <w:r>
              <w:rPr>
                <w:rFonts w:ascii="Arial" w:cs="Arial" w:eastAsia="Arial" w:hAnsi="Arial"/>
                <w:b/>
                <w:bCs/>
                <w:color w:val="2B4C7E"/>
                <w:sz w:val="20"/>
                <w:szCs w:val="20"/>
              </w:rPr>
              <w:t xml:space="preserve">Escalation Path</w:t>
            </w:r>
          </w:p>
          <w:p>
            <w:pPr>
              <w:spacing w:after="0" w:before="0"/>
            </w:pPr>
            <w:r>
              <w:rPr>
                <w:rFonts w:ascii="Arial" w:cs="Arial" w:eastAsia="Arial" w:hAnsi="Arial"/>
                <w:i/>
                <w:iCs/>
                <w:color w:val="4A5568"/>
                <w:sz w:val="18"/>
                <w:szCs w:val="18"/>
              </w:rPr>
              <w:t xml:space="preserve">Named contacts in sequence when the agent triggers an anomaly. Include trigger conditions for immediate action versus scheduled review. This path must be written before the first incident. Not assembled during it.</w:t>
            </w:r>
          </w:p>
          <w:p>
            <w:pPr>
              <w:pBdr>
                <w:bottom w:val="single" w:color="C8CDD6" w:sz="4"/>
              </w:pBdr>
              <w:spacing w:after="0" w:before="80"/>
            </w:pPr>
            <w:r>
              <w:rPr>
                <w:rFonts w:ascii="Arial" w:cs="Arial" w:eastAsia="Arial" w:hAnsi="Arial"/>
                <w:sz w:val="20"/>
                <w:szCs w:val="20"/>
              </w:rPr>
              <w:t xml:space="preserve"/>
            </w:r>
          </w:p>
        </w:tc>
      </w:tr>
    </w:tbl>
    <w:p>
      <w:pPr>
        <w:spacing w:after="200" w:before="0"/>
      </w:pPr>
      <w:r>
        <w:t xml:space="preserve"/>
      </w:r>
    </w:p>
    <w:p>
      <w:pPr>
        <w:spacing w:after="80" w:before="240"/>
      </w:pPr>
      <w:r>
        <w:rPr>
          <w:rFonts w:ascii="Arial" w:cs="Arial" w:eastAsia="Arial" w:hAnsi="Arial"/>
          <w:b/>
          <w:bCs/>
          <w:color w:val="E07A30"/>
          <w:spacing w:val="80"/>
          <w:sz w:val="18"/>
          <w:szCs w:val="18"/>
        </w:rPr>
        <w:t xml:space="preserve">SECTION 4: AUTHORIZATION SIGNOFF</w:t>
      </w:r>
    </w:p>
    <w:p>
      <w:pPr>
        <w:pBdr>
          <w:bottom w:val="single" w:color="C8CDD6" w:sz="4"/>
        </w:pBdr>
        <w:spacing w:after="0" w:before="0"/>
      </w:pPr>
      <w:r>
        <w:t xml:space="preserve"/>
      </w:r>
    </w:p>
    <w:p>
      <w:pPr>
        <w:spacing w:after="8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Borders>
              <w:top w:val="single" w:color="2B4C7E" w:sz="1"/>
              <w:left w:val="single" w:color="2B4C7E" w:sz="1"/>
              <w:bottom w:val="single" w:color="2B4C7E" w:sz="1"/>
              <w:right w:val="single" w:color="2B4C7E" w:sz="1"/>
            </w:tcBorders>
            <w:shd w:fill="1B2A4A" w:val="clear"/>
            <w:tcMar>
              <w:top w:type="dxa" w:w="60"/>
              <w:left w:type="dxa" w:w="120"/>
              <w:bottom w:type="dxa" w:w="60"/>
              <w:right w:type="dxa" w:w="120"/>
            </w:tcMar>
          </w:tcPr>
          <w:p>
            <w:r>
              <w:rPr>
                <w:rFonts w:ascii="Arial" w:cs="Arial" w:eastAsia="Arial" w:hAnsi="Arial"/>
                <w:b/>
                <w:bCs/>
                <w:color w:val="FFFFFF"/>
                <w:sz w:val="19"/>
                <w:szCs w:val="19"/>
              </w:rPr>
              <w:t xml:space="preserve">Signatory</w:t>
            </w:r>
          </w:p>
        </w:tc>
        <w:tc>
          <w:tcPr>
            <w:tcBorders>
              <w:top w:val="single" w:color="2B4C7E" w:sz="1"/>
              <w:left w:val="single" w:color="2B4C7E" w:sz="1"/>
              <w:bottom w:val="single" w:color="2B4C7E" w:sz="1"/>
              <w:right w:val="single" w:color="2B4C7E" w:sz="1"/>
            </w:tcBorders>
            <w:shd w:fill="1B2A4A" w:val="clear"/>
            <w:tcMar>
              <w:top w:type="dxa" w:w="60"/>
              <w:left w:type="dxa" w:w="120"/>
              <w:bottom w:type="dxa" w:w="60"/>
              <w:right w:type="dxa" w:w="120"/>
            </w:tcMar>
          </w:tcPr>
          <w:p>
            <w:r>
              <w:rPr>
                <w:rFonts w:ascii="Arial" w:cs="Arial" w:eastAsia="Arial" w:hAnsi="Arial"/>
                <w:b/>
                <w:bCs/>
                <w:color w:val="FFFFFF"/>
                <w:sz w:val="19"/>
                <w:szCs w:val="19"/>
              </w:rPr>
              <w:t xml:space="preserve">Title and Authority</w:t>
            </w:r>
          </w:p>
        </w:tc>
        <w:tc>
          <w:tcPr>
            <w:tcBorders>
              <w:top w:val="single" w:color="2B4C7E" w:sz="1"/>
              <w:left w:val="single" w:color="2B4C7E" w:sz="1"/>
              <w:bottom w:val="single" w:color="2B4C7E" w:sz="1"/>
              <w:right w:val="single" w:color="2B4C7E" w:sz="1"/>
            </w:tcBorders>
            <w:shd w:fill="1B2A4A" w:val="clear"/>
            <w:tcMar>
              <w:top w:type="dxa" w:w="60"/>
              <w:left w:type="dxa" w:w="120"/>
              <w:bottom w:type="dxa" w:w="60"/>
              <w:right w:type="dxa" w:w="120"/>
            </w:tcMar>
          </w:tcPr>
          <w:p>
            <w:r>
              <w:rPr>
                <w:rFonts w:ascii="Arial" w:cs="Arial" w:eastAsia="Arial" w:hAnsi="Arial"/>
                <w:b/>
                <w:bCs/>
                <w:color w:val="FFFFFF"/>
                <w:sz w:val="19"/>
                <w:szCs w:val="19"/>
              </w:rPr>
              <w:t xml:space="preserve">Date Signed</w:t>
            </w:r>
          </w:p>
        </w:tc>
      </w:tr>
      <w:tr>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i/>
                <w:iCs/>
                <w:color w:val="4A5568"/>
                <w:sz w:val="19"/>
                <w:szCs w:val="19"/>
              </w:rPr>
              <w:t xml:space="preserve">Business Owner (Consequence Owner)</w:t>
            </w:r>
          </w:p>
        </w:tc>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i/>
                <w:iCs/>
                <w:color w:val="4A5568"/>
                <w:sz w:val="19"/>
                <w:szCs w:val="19"/>
              </w:rPr>
              <w:t xml:space="preserve">Authorized to grant the scope described in Section 2</w:t>
            </w:r>
          </w:p>
        </w:tc>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sz w:val="20"/>
                <w:szCs w:val="20"/>
              </w:rPr>
              <w:t xml:space="preserve"/>
            </w:r>
          </w:p>
        </w:tc>
      </w:tr>
      <w:tr>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i/>
                <w:iCs/>
                <w:color w:val="4A5568"/>
                <w:sz w:val="19"/>
                <w:szCs w:val="19"/>
              </w:rPr>
              <w:t xml:space="preserve">Compliance Review</w:t>
            </w:r>
          </w:p>
        </w:tc>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i/>
                <w:iCs/>
                <w:color w:val="4A5568"/>
                <w:sz w:val="19"/>
                <w:szCs w:val="19"/>
              </w:rPr>
              <w:t xml:space="preserve">Completed pre-deployment compliance review</w:t>
            </w:r>
          </w:p>
        </w:tc>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sz w:val="20"/>
                <w:szCs w:val="20"/>
              </w:rPr>
              <w:t xml:space="preserve"/>
            </w:r>
          </w:p>
        </w:tc>
      </w:tr>
      <w:tr>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i/>
                <w:iCs/>
                <w:color w:val="4A5568"/>
                <w:sz w:val="19"/>
                <w:szCs w:val="19"/>
              </w:rPr>
              <w:t xml:space="preserve">Legal Review</w:t>
            </w:r>
          </w:p>
        </w:tc>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i/>
                <w:iCs/>
                <w:color w:val="4A5568"/>
                <w:sz w:val="19"/>
                <w:szCs w:val="19"/>
              </w:rPr>
              <w:t xml:space="preserve">Completed pre-deployment legal review</w:t>
            </w:r>
          </w:p>
        </w:tc>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sz w:val="20"/>
                <w:szCs w:val="20"/>
              </w:rPr>
              <w:t xml:space="preserve"/>
            </w:r>
          </w:p>
        </w:tc>
      </w:tr>
      <w:tr>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i/>
                <w:iCs/>
                <w:color w:val="4A5568"/>
                <w:sz w:val="19"/>
                <w:szCs w:val="19"/>
              </w:rPr>
              <w:t xml:space="preserve">Technical Owner</w:t>
            </w:r>
          </w:p>
        </w:tc>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i/>
                <w:iCs/>
                <w:color w:val="4A5568"/>
                <w:sz w:val="19"/>
                <w:szCs w:val="19"/>
              </w:rPr>
              <w:t xml:space="preserve">Confirms configuration matches documented intent</w:t>
            </w:r>
          </w:p>
        </w:tc>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sz w:val="20"/>
                <w:szCs w:val="20"/>
              </w:rPr>
              <w:t xml:space="preserve"/>
            </w:r>
          </w:p>
        </w:tc>
      </w:tr>
    </w:tbl>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E07A30" w:sz="1"/>
              <w:left w:val="thick" w:color="E07A30" w:sz="20"/>
              <w:bottom w:val="single" w:color="E07A30" w:sz="1"/>
              <w:right w:val="single" w:color="E07A30" w:sz="1"/>
            </w:tcBorders>
            <w:shd w:fill="FFF9EC" w:val="clear"/>
            <w:tcMar>
              <w:top w:type="dxa" w:w="100"/>
              <w:left w:type="dxa" w:w="180"/>
              <w:bottom w:type="dxa" w:w="100"/>
              <w:right w:type="dxa" w:w="180"/>
            </w:tcMar>
          </w:tcPr>
          <w:p>
            <w:pPr>
              <w:spacing w:after="40" w:before="0"/>
            </w:pPr>
            <w:r>
              <w:rPr>
                <w:rFonts w:ascii="Arial" w:cs="Arial" w:eastAsia="Arial" w:hAnsi="Arial"/>
                <w:b/>
                <w:bCs/>
                <w:color w:val="E07A30"/>
                <w:spacing w:val="60"/>
                <w:sz w:val="17"/>
                <w:szCs w:val="17"/>
              </w:rPr>
              <w:t xml:space="preserve">SIGNING REQUIREMENT</w:t>
            </w:r>
          </w:p>
          <w:p>
            <w:pPr>
              <w:spacing w:after="0" w:before="0"/>
            </w:pPr>
            <w:r>
              <w:rPr>
                <w:rFonts w:ascii="Arial" w:cs="Arial" w:eastAsia="Arial" w:hAnsi="Arial"/>
                <w:color w:val="222222"/>
                <w:sz w:val="20"/>
                <w:szCs w:val="20"/>
              </w:rPr>
              <w:t xml:space="preserve">The authorization signoff must predate the agent's first production action. A document signed after deployment is retroactive documentation, not pre-deployment governance. The date on this document is the governance evidence.</w:t>
            </w:r>
          </w:p>
        </w:tc>
      </w:tr>
    </w:tbl>
    <w:p>
      <w:pPr>
        <w:spacing w:after="200" w:before="0"/>
      </w:pPr>
      <w:r>
        <w:t xml:space="preserve"/>
      </w:r>
    </w:p>
    <w:p>
      <w:pPr>
        <w:spacing w:after="80" w:before="240"/>
      </w:pPr>
      <w:r>
        <w:rPr>
          <w:rFonts w:ascii="Arial" w:cs="Arial" w:eastAsia="Arial" w:hAnsi="Arial"/>
          <w:b/>
          <w:bCs/>
          <w:color w:val="E07A30"/>
          <w:spacing w:val="80"/>
          <w:sz w:val="18"/>
          <w:szCs w:val="18"/>
        </w:rPr>
        <w:t xml:space="preserve">SECTION 5: DOCUMENT VERSION HISTORY</w:t>
      </w:r>
    </w:p>
    <w:p>
      <w:pPr>
        <w:pBdr>
          <w:bottom w:val="single" w:color="C8CDD6" w:sz="4"/>
        </w:pBdr>
        <w:spacing w:after="0" w:before="0"/>
      </w:pPr>
      <w:r>
        <w:t xml:space="preserve"/>
      </w:r>
    </w:p>
    <w:p>
      <w:pPr>
        <w:spacing w:after="8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40"/>
        <w:gridCol w:w="2160"/>
        <w:gridCol w:w="2880"/>
        <w:gridCol w:w="2880"/>
      </w:tblGrid>
      <w:tr>
        <w:tc>
          <w:tcPr>
            <w:tcBorders>
              <w:top w:val="single" w:color="2B4C7E" w:sz="1"/>
              <w:left w:val="single" w:color="2B4C7E" w:sz="1"/>
              <w:bottom w:val="single" w:color="2B4C7E" w:sz="1"/>
              <w:right w:val="single" w:color="2B4C7E" w:sz="1"/>
            </w:tcBorders>
            <w:shd w:fill="1B2A4A" w:val="clear"/>
            <w:tcMar>
              <w:top w:type="dxa" w:w="60"/>
              <w:left w:type="dxa" w:w="120"/>
              <w:bottom w:type="dxa" w:w="60"/>
              <w:right w:type="dxa" w:w="120"/>
            </w:tcMar>
          </w:tcPr>
          <w:p>
            <w:r>
              <w:rPr>
                <w:rFonts w:ascii="Arial" w:cs="Arial" w:eastAsia="Arial" w:hAnsi="Arial"/>
                <w:b/>
                <w:bCs/>
                <w:color w:val="FFFFFF"/>
                <w:sz w:val="19"/>
                <w:szCs w:val="19"/>
              </w:rPr>
              <w:t xml:space="preserve">Version</w:t>
            </w:r>
          </w:p>
        </w:tc>
        <w:tc>
          <w:tcPr>
            <w:tcBorders>
              <w:top w:val="single" w:color="2B4C7E" w:sz="1"/>
              <w:left w:val="single" w:color="2B4C7E" w:sz="1"/>
              <w:bottom w:val="single" w:color="2B4C7E" w:sz="1"/>
              <w:right w:val="single" w:color="2B4C7E" w:sz="1"/>
            </w:tcBorders>
            <w:shd w:fill="1B2A4A" w:val="clear"/>
            <w:tcMar>
              <w:top w:type="dxa" w:w="60"/>
              <w:left w:type="dxa" w:w="120"/>
              <w:bottom w:type="dxa" w:w="60"/>
              <w:right w:type="dxa" w:w="120"/>
            </w:tcMar>
          </w:tcPr>
          <w:p>
            <w:r>
              <w:rPr>
                <w:rFonts w:ascii="Arial" w:cs="Arial" w:eastAsia="Arial" w:hAnsi="Arial"/>
                <w:b/>
                <w:bCs/>
                <w:color w:val="FFFFFF"/>
                <w:sz w:val="19"/>
                <w:szCs w:val="19"/>
              </w:rPr>
              <w:t xml:space="preserve">Date</w:t>
            </w:r>
          </w:p>
        </w:tc>
        <w:tc>
          <w:tcPr>
            <w:tcBorders>
              <w:top w:val="single" w:color="2B4C7E" w:sz="1"/>
              <w:left w:val="single" w:color="2B4C7E" w:sz="1"/>
              <w:bottom w:val="single" w:color="2B4C7E" w:sz="1"/>
              <w:right w:val="single" w:color="2B4C7E" w:sz="1"/>
            </w:tcBorders>
            <w:shd w:fill="1B2A4A" w:val="clear"/>
            <w:tcMar>
              <w:top w:type="dxa" w:w="60"/>
              <w:left w:type="dxa" w:w="120"/>
              <w:bottom w:type="dxa" w:w="60"/>
              <w:right w:type="dxa" w:w="120"/>
            </w:tcMar>
          </w:tcPr>
          <w:p>
            <w:r>
              <w:rPr>
                <w:rFonts w:ascii="Arial" w:cs="Arial" w:eastAsia="Arial" w:hAnsi="Arial"/>
                <w:b/>
                <w:bCs/>
                <w:color w:val="FFFFFF"/>
                <w:sz w:val="19"/>
                <w:szCs w:val="19"/>
              </w:rPr>
              <w:t xml:space="preserve">Change Description</w:t>
            </w:r>
          </w:p>
        </w:tc>
        <w:tc>
          <w:tcPr>
            <w:tcBorders>
              <w:top w:val="single" w:color="2B4C7E" w:sz="1"/>
              <w:left w:val="single" w:color="2B4C7E" w:sz="1"/>
              <w:bottom w:val="single" w:color="2B4C7E" w:sz="1"/>
              <w:right w:val="single" w:color="2B4C7E" w:sz="1"/>
            </w:tcBorders>
            <w:shd w:fill="1B2A4A" w:val="clear"/>
            <w:tcMar>
              <w:top w:type="dxa" w:w="60"/>
              <w:left w:type="dxa" w:w="120"/>
              <w:bottom w:type="dxa" w:w="60"/>
              <w:right w:type="dxa" w:w="120"/>
            </w:tcMar>
          </w:tcPr>
          <w:p>
            <w:r>
              <w:rPr>
                <w:rFonts w:ascii="Arial" w:cs="Arial" w:eastAsia="Arial" w:hAnsi="Arial"/>
                <w:b/>
                <w:bCs/>
                <w:color w:val="FFFFFF"/>
                <w:sz w:val="19"/>
                <w:szCs w:val="19"/>
              </w:rPr>
              <w:t xml:space="preserve">Approved By</w:t>
            </w:r>
          </w:p>
        </w:tc>
      </w:tr>
      <w:tr>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color w:val="4A5568"/>
                <w:sz w:val="20"/>
                <w:szCs w:val="20"/>
              </w:rPr>
              <w:t xml:space="preserve">v1.0</w:t>
            </w:r>
          </w:p>
        </w:tc>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sz w:val="20"/>
                <w:szCs w:val="20"/>
              </w:rPr>
              <w:t xml:space="preserve"/>
            </w:r>
          </w:p>
        </w:tc>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i/>
                <w:iCs/>
                <w:color w:val="4A5568"/>
                <w:sz w:val="20"/>
                <w:szCs w:val="20"/>
              </w:rPr>
              <w:t xml:space="preserve">Initial authorization</w:t>
            </w:r>
          </w:p>
        </w:tc>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sz w:val="20"/>
                <w:szCs w:val="20"/>
              </w:rPr>
              <w:t xml:space="preserve"/>
            </w:r>
          </w:p>
        </w:tc>
      </w:tr>
      <w:tr>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sz w:val="20"/>
                <w:szCs w:val="20"/>
              </w:rPr>
              <w:t xml:space="preserve"/>
            </w:r>
          </w:p>
        </w:tc>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sz w:val="20"/>
                <w:szCs w:val="20"/>
              </w:rPr>
              <w:t xml:space="preserve"/>
            </w:r>
          </w:p>
        </w:tc>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sz w:val="20"/>
                <w:szCs w:val="20"/>
              </w:rPr>
              <w:t xml:space="preserve"/>
            </w:r>
          </w:p>
        </w:tc>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sz w:val="20"/>
                <w:szCs w:val="20"/>
              </w:rPr>
              <w:t xml:space="preserve"/>
            </w:r>
          </w:p>
        </w:tc>
      </w:tr>
      <w:tr>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sz w:val="20"/>
                <w:szCs w:val="20"/>
              </w:rPr>
              <w:t xml:space="preserve"/>
            </w:r>
          </w:p>
        </w:tc>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sz w:val="20"/>
                <w:szCs w:val="20"/>
              </w:rPr>
              <w:t xml:space="preserve"/>
            </w:r>
          </w:p>
        </w:tc>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sz w:val="20"/>
                <w:szCs w:val="20"/>
              </w:rPr>
              <w:t xml:space="preserve"/>
            </w:r>
          </w:p>
        </w:tc>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sz w:val="20"/>
                <w:szCs w:val="20"/>
              </w:rPr>
              <w:t xml:space="preserve"/>
            </w:r>
          </w:p>
        </w:tc>
      </w:tr>
      <w:tr>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sz w:val="20"/>
                <w:szCs w:val="20"/>
              </w:rPr>
              <w:t xml:space="preserve"/>
            </w:r>
          </w:p>
        </w:tc>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sz w:val="20"/>
                <w:szCs w:val="20"/>
              </w:rPr>
              <w:t xml:space="preserve"/>
            </w:r>
          </w:p>
        </w:tc>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sz w:val="20"/>
                <w:szCs w:val="20"/>
              </w:rPr>
              <w:t xml:space="preserve"/>
            </w:r>
          </w:p>
        </w:tc>
        <w:tc>
          <w:tcPr>
            <w:tcBorders>
              <w:top w:val="single" w:color="C8CDD6" w:sz="1"/>
              <w:left w:val="single" w:color="C8CDD6" w:sz="1"/>
              <w:bottom w:val="single" w:color="C8CDD6" w:sz="1"/>
              <w:right w:val="single" w:color="C8CDD6" w:sz="1"/>
            </w:tcBorders>
            <w:tcMar>
              <w:top w:type="dxa" w:w="80"/>
              <w:left w:type="dxa" w:w="120"/>
              <w:bottom w:type="dxa" w:w="80"/>
              <w:right w:type="dxa" w:w="120"/>
            </w:tcMar>
          </w:tcPr>
          <w:p>
            <w:r>
              <w:rPr>
                <w:rFonts w:ascii="Arial" w:cs="Arial" w:eastAsia="Arial" w:hAnsi="Arial"/>
                <w:sz w:val="20"/>
                <w:szCs w:val="20"/>
              </w:rPr>
              <w:t xml:space="preserve"/>
            </w:r>
          </w:p>
        </w:tc>
      </w:tr>
    </w:tbl>
    <w:p>
      <w:pPr>
        <w:spacing w:after="200" w:before="0"/>
      </w:pPr>
      <w:r>
        <w:t xml:space="preserve"/>
      </w:r>
    </w:p>
    <w:p>
      <w:pPr>
        <w:spacing w:after="40" w:before="0"/>
      </w:pPr>
      <w:r>
        <w:rPr>
          <w:rFonts w:ascii="Arial" w:cs="Arial" w:eastAsia="Arial" w:hAnsi="Arial"/>
          <w:i/>
          <w:iCs/>
          <w:color w:val="4A5568"/>
          <w:sz w:val="18"/>
          <w:szCs w:val="18"/>
        </w:rPr>
        <w:t xml:space="preserve">This template is provided as an organizational design aid. It is not legal advice. Organizations should obtain qualified legal and regulatory counsel before treating any field or requirement here as compliance guidance. Intent Document requirements vary by industry, jurisdiction, regulatory regime, and agent risk profile.</w:t>
      </w:r>
    </w:p>
    <w:sectPr>
      <w:headerReference w:type="default" r:id="rId7"/>
      <w:footerReference w:type="default" r:id="rId8"/>
      <w:pgSz w:w="12240" w:h="15840"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bottom w:val="single" w:color="C8CDD6" w:sz="4"/>
      </w:pBdr>
      <w:spacing w:after="0" w:before="0"/>
    </w:pPr>
    <w:r>
      <w:t xml:space="preserve"/>
    </w:r>
  </w:p>
  <w:tbl>
    <w:tblPr>
      <w:tblW w:type="dxa" w:w="10080"/>
      <w:tblBorders>
        <w:top w:val="single" w:color="auto" w:sz="4"/>
        <w:left w:val="single" w:color="auto" w:sz="4"/>
        <w:bottom w:val="single" w:color="auto" w:sz="4"/>
        <w:right w:val="single" w:color="auto" w:sz="4"/>
        <w:insideH w:val="single" w:color="auto" w:sz="4"/>
        <w:insideV w:val="single" w:color="auto" w:sz="4"/>
      </w:tblBorders>
    </w:tblPr>
    <w:tblGrid>
      <w:gridCol w:w="4000"/>
      <w:gridCol w:w="3080"/>
      <w:gridCol w:w="3000"/>
    </w:tblGrid>
    <w:tr>
      <w:tc>
        <w:tcPr>
          <w:tcBorders>
            <w:top w:val="none"/>
            <w:left w:val="none"/>
            <w:bottom w:val="none"/>
            <w:right w:val="none"/>
          </w:tcBorders>
        </w:tcPr>
        <w:p>
          <w:r>
            <w:rPr>
              <w:rFonts w:ascii="Arial" w:cs="Arial" w:eastAsia="Arial" w:hAnsi="Arial"/>
              <w:color w:val="4A5568"/>
              <w:sz w:val="14"/>
              <w:szCs w:val="14"/>
            </w:rPr>
            <w:t xml:space="preserve">sougataroy.com/frameworks/intent-architecture-stack</w:t>
          </w:r>
        </w:p>
      </w:tc>
      <w:tc>
        <w:tcPr>
          <w:tcBorders>
            <w:top w:val="none"/>
            <w:left w:val="none"/>
            <w:bottom w:val="none"/>
            <w:right w:val="none"/>
          </w:tcBorders>
        </w:tcPr>
        <w:p>
          <w:pPr>
            <w:jc w:val="center"/>
          </w:pPr>
          <w:r>
            <w:rPr>
              <w:rFonts w:ascii="Arial" w:cs="Arial" w:eastAsia="Arial" w:hAnsi="Arial"/>
              <w:color w:val="4A5568"/>
              <w:spacing w:val="40"/>
              <w:sz w:val="14"/>
              <w:szCs w:val="14"/>
            </w:rPr>
            <w:t xml:space="preserve">THE GOVERNANCE GAP</w:t>
          </w:r>
        </w:p>
      </w:tc>
      <w:tc>
        <w:tcPr>
          <w:tcBorders>
            <w:top w:val="none"/>
            <w:left w:val="none"/>
            <w:bottom w:val="none"/>
            <w:right w:val="none"/>
          </w:tcBorders>
        </w:tcPr>
        <w:p>
          <w:pPr>
            <w:jc w:val="right"/>
          </w:pPr>
          <w:r>
            <w:rPr>
              <w:rFonts w:ascii="Arial" w:cs="Arial" w:eastAsia="Arial" w:hAnsi="Arial"/>
              <w:i/>
              <w:iCs/>
              <w:color w:val="4A5568"/>
              <w:sz w:val="14"/>
              <w:szCs w:val="14"/>
            </w:rPr>
            <w:t xml:space="preserve">Views are my own</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10080"/>
      <w:tblBorders>
        <w:top w:val="single" w:color="auto" w:sz="4"/>
        <w:left w:val="single" w:color="auto" w:sz="4"/>
        <w:bottom w:val="single" w:color="auto" w:sz="4"/>
        <w:right w:val="single" w:color="auto" w:sz="4"/>
        <w:insideH w:val="single" w:color="auto" w:sz="4"/>
        <w:insideV w:val="single" w:color="auto" w:sz="4"/>
      </w:tblBorders>
    </w:tblPr>
    <w:tblGrid>
      <w:gridCol w:w="5040"/>
      <w:gridCol w:w="5040"/>
    </w:tblGrid>
    <w:tr>
      <w:tc>
        <w:tcPr>
          <w:tcBorders>
            <w:top w:val="none"/>
            <w:left w:val="none"/>
            <w:bottom w:val="none"/>
            <w:right w:val="none"/>
          </w:tcBorders>
        </w:tcPr>
        <w:p>
          <w:r>
            <w:rPr>
              <w:rFonts w:ascii="Arial" w:cs="Arial" w:eastAsia="Arial" w:hAnsi="Arial"/>
              <w:b/>
              <w:bCs/>
              <w:color w:val="2B4C7E"/>
              <w:spacing w:val="60"/>
              <w:sz w:val="18"/>
              <w:szCs w:val="18"/>
            </w:rPr>
            <w:t xml:space="preserve">SOUGATA ROY</w:t>
          </w:r>
        </w:p>
        <w:p>
          <w:r>
            <w:rPr>
              <w:rFonts w:ascii="Arial" w:cs="Arial" w:eastAsia="Arial" w:hAnsi="Arial"/>
              <w:color w:val="E07A30"/>
              <w:sz w:val="16"/>
              <w:szCs w:val="16"/>
            </w:rPr>
            <w:t xml:space="preserve">sougataroy.com</w:t>
          </w:r>
        </w:p>
      </w:tc>
      <w:tc>
        <w:tcPr>
          <w:tcBorders>
            <w:top w:val="none"/>
            <w:left w:val="none"/>
            <w:bottom w:val="none"/>
            <w:right w:val="none"/>
          </w:tcBorders>
        </w:tcPr>
        <w:p>
          <w:pPr>
            <w:jc w:val="right"/>
          </w:pPr>
          <w:r>
            <w:rPr>
              <w:rFonts w:ascii="Arial" w:cs="Arial" w:eastAsia="Arial" w:hAnsi="Arial"/>
              <w:color w:val="4A5568"/>
              <w:spacing w:val="40"/>
              <w:sz w:val="16"/>
              <w:szCs w:val="16"/>
            </w:rPr>
            <w:t xml:space="preserve">THE GOVERNANCE GAP</w:t>
          </w:r>
        </w:p>
      </w:tc>
    </w:tr>
  </w:tbl>
  <w:p>
    <w:pPr>
      <w:pBdr>
        <w:bottom w:val="single" w:color="C8CDD6" w:sz="4"/>
      </w:pBdr>
      <w:spacing w:after="0" w:before="0"/>
    </w:pPr>
    <w:r>
      <w:t xml:space="preserve"/>
    </w:r>
  </w:p>
  <w:p>
    <w:pPr>
      <w:spacing w:after="60" w:before="0"/>
    </w:pPr>
    <w:r>
      <w:t xml:space="preserv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1A202C"/>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240"/>
      <w:outlineLvl w:val="0"/>
    </w:pPr>
    <w:rPr>
      <w:rFonts w:ascii="Arial" w:cs="Arial" w:eastAsia="Arial" w:hAnsi="Arial"/>
      <w:b/>
      <w:bCs/>
      <w:color w:val="2B4C7E"/>
      <w:sz w:val="36"/>
      <w:szCs w:val="36"/>
    </w:rPr>
  </w:style>
  <w:style w:type="paragraph" w:styleId="Heading2">
    <w:name w:val="Heading 2"/>
    <w:basedOn w:val="Normal"/>
    <w:next w:val="Normal"/>
    <w:qFormat/>
    <w:pPr>
      <w:spacing w:after="80" w:before="200"/>
      <w:outlineLvl w:val="1"/>
    </w:pPr>
    <w:rPr>
      <w:rFonts w:ascii="Arial" w:cs="Arial" w:eastAsia="Arial" w:hAnsi="Arial"/>
      <w:b/>
      <w:bCs/>
      <w:color w:val="2B4C7E"/>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2026-05-04T15:53:21.671Z</dcterms:created>
  <dcterms:modified xsi:type="dcterms:W3CDTF">2026-05-04T15:53:21.671Z</dcterms:modified>
</cp:coreProperties>
</file>

<file path=docProps/custom.xml><?xml version="1.0" encoding="utf-8"?>
<Properties xmlns="http://schemas.openxmlformats.org/officeDocument/2006/custom-properties" xmlns:vt="http://schemas.openxmlformats.org/officeDocument/2006/docPropsVTypes"/>
</file>